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480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第3章 基因工程</w:t>
      </w:r>
    </w:p>
    <w:p w14:paraId="6E9137C7">
      <w:pPr>
        <w:shd w:val="clear" w:color="auto" w:fill="auto"/>
        <w:spacing w:line="360" w:lineRule="auto"/>
        <w:jc w:val="center"/>
        <w:textAlignment w:val="center"/>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第2节 基因工程的基本操作程序</w:t>
      </w:r>
    </w:p>
    <w:p w14:paraId="2AB264B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4E71F62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1.基因工程的步骤：目的基因的筛选与获取→</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基因表达载体的构建</w:t>
      </w:r>
      <w:r>
        <w:rPr>
          <w:rFonts w:hint="eastAsia"/>
          <w:sz w:val="21"/>
          <w:lang w:val="en-US" w:eastAsia="zh-CN"/>
        </w:rPr>
        <w:t>→将目的基因导入</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受体细胞</w:t>
      </w:r>
      <w:r>
        <w:rPr>
          <w:rFonts w:hint="eastAsia"/>
          <w:sz w:val="21"/>
          <w:lang w:val="en-US" w:eastAsia="zh-CN"/>
        </w:rPr>
        <w:t>→目的基因的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检测与鉴定</w:t>
      </w:r>
      <w:r>
        <w:rPr>
          <w:rFonts w:hint="eastAsia"/>
          <w:sz w:val="21"/>
          <w:lang w:val="en-US" w:eastAsia="zh-CN"/>
        </w:rPr>
        <w:t>。</w:t>
      </w:r>
    </w:p>
    <w:p w14:paraId="152FA4A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2.在基因工程的设计和操作中，用于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改变受体细胞性状</w:t>
      </w:r>
      <w:r>
        <w:rPr>
          <w:rFonts w:hint="eastAsia"/>
          <w:sz w:val="21"/>
          <w:lang w:val="en-US" w:eastAsia="zh-CN"/>
        </w:rPr>
        <w:t>或</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获得预期表达产物</w:t>
      </w:r>
      <w:r>
        <w:rPr>
          <w:rFonts w:hint="eastAsia"/>
          <w:sz w:val="21"/>
          <w:lang w:val="en-US" w:eastAsia="zh-CN"/>
        </w:rPr>
        <w:t>等的基因是目的基因。</w:t>
      </w:r>
    </w:p>
    <w:p w14:paraId="09C39003">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w:t>
      </w:r>
      <w:r>
        <w:rPr>
          <w:rFonts w:hint="default"/>
          <w:sz w:val="21"/>
          <w:lang w:val="en-US" w:eastAsia="zh-CN"/>
        </w:rPr>
        <w:t>PCR是聚合酶链式反应的缩写。它的原理是</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DNA半保留复制</w:t>
      </w:r>
      <w:r>
        <w:rPr>
          <w:rFonts w:hint="eastAsia"/>
          <w:sz w:val="21"/>
          <w:lang w:val="en-US" w:eastAsia="zh-CN"/>
        </w:rPr>
        <w:t>。</w:t>
      </w:r>
    </w:p>
    <w:p w14:paraId="6958E695">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4.</w:t>
      </w:r>
      <w:r>
        <w:rPr>
          <w:rFonts w:hint="default"/>
          <w:sz w:val="21"/>
          <w:lang w:val="en-US" w:eastAsia="zh-CN"/>
        </w:rPr>
        <w:t>真核细胞和细菌的DNA聚合酶都需要</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Mg</w:t>
      </w:r>
      <w:r>
        <w:rPr>
          <w:rFonts w:hint="default"/>
          <w:color w:val="91ACE0" w:themeColor="accent1" w:themeTint="99"/>
          <w:sz w:val="21"/>
          <w:u w:val="single"/>
          <w:vertAlign w:val="superscript"/>
          <w:lang w:val="en-US" w:eastAsia="zh-CN"/>
          <w14:textFill>
            <w14:solidFill>
              <w14:schemeClr w14:val="accent1">
                <w14:lumMod w14:val="60000"/>
                <w14:lumOff w14:val="40000"/>
              </w14:schemeClr>
            </w14:solidFill>
          </w14:textFill>
        </w:rPr>
        <w:t>2</w:t>
      </w:r>
      <w:r>
        <w:rPr>
          <w:rFonts w:hint="eastAsia"/>
          <w:color w:val="91ACE0" w:themeColor="accent1" w:themeTint="99"/>
          <w:sz w:val="21"/>
          <w:u w:val="single"/>
          <w:vertAlign w:val="superscript"/>
          <w:lang w:val="en-US" w:eastAsia="zh-CN"/>
          <w14:textFill>
            <w14:solidFill>
              <w14:schemeClr w14:val="accent1">
                <w14:lumMod w14:val="60000"/>
                <w14:lumOff w14:val="40000"/>
              </w14:schemeClr>
            </w14:solidFill>
          </w14:textFill>
        </w:rPr>
        <w:t>+</w:t>
      </w:r>
      <w:r>
        <w:rPr>
          <w:rFonts w:hint="default"/>
          <w:sz w:val="21"/>
          <w:lang w:val="en-US" w:eastAsia="zh-CN"/>
        </w:rPr>
        <w:t>激活</w:t>
      </w:r>
      <w:r>
        <w:rPr>
          <w:rFonts w:hint="eastAsia"/>
          <w:sz w:val="21"/>
          <w:lang w:val="en-US" w:eastAsia="zh-CN"/>
        </w:rPr>
        <w:t>。</w:t>
      </w:r>
    </w:p>
    <w:p w14:paraId="2D8922C4">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5.</w:t>
      </w:r>
      <w:r>
        <w:rPr>
          <w:rFonts w:hint="default"/>
          <w:sz w:val="21"/>
          <w:lang w:val="en-US" w:eastAsia="zh-CN"/>
        </w:rPr>
        <w:t>引物是一小段能与DNA母链的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一段碱基序列</w:t>
      </w:r>
      <w:r>
        <w:rPr>
          <w:rFonts w:hint="default"/>
          <w:sz w:val="21"/>
          <w:lang w:val="en-US" w:eastAsia="zh-CN"/>
        </w:rPr>
        <w:t>互补配对的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短单链核酸</w:t>
      </w:r>
      <w:r>
        <w:rPr>
          <w:rFonts w:hint="default"/>
          <w:sz w:val="21"/>
          <w:lang w:val="en-US" w:eastAsia="zh-CN"/>
        </w:rPr>
        <w:t>。</w:t>
      </w:r>
    </w:p>
    <w:p w14:paraId="1B1012A3">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6.PCR每次循环分为三步：</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变性</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复性</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延伸</w:t>
      </w:r>
      <w:r>
        <w:rPr>
          <w:rFonts w:hint="eastAsia"/>
          <w:sz w:val="21"/>
          <w:lang w:val="en-US" w:eastAsia="zh-CN"/>
        </w:rPr>
        <w:t>。</w:t>
      </w:r>
    </w:p>
    <w:p w14:paraId="4F07BC48">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7.</w:t>
      </w:r>
      <w:r>
        <w:rPr>
          <w:rFonts w:hint="default"/>
          <w:sz w:val="21"/>
          <w:lang w:val="en-US" w:eastAsia="zh-CN"/>
        </w:rPr>
        <w:t>基因表达载体的构建</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目的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基因</w:t>
      </w:r>
      <w:r>
        <w:rPr>
          <w:rFonts w:hint="eastAsia"/>
          <w:sz w:val="21"/>
          <w:lang w:val="en-US" w:eastAsia="zh-CN"/>
        </w:rPr>
        <w:t>与</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载体</w:t>
      </w:r>
      <w:r>
        <w:rPr>
          <w:rFonts w:hint="eastAsia"/>
          <w:sz w:val="21"/>
          <w:lang w:val="en-US" w:eastAsia="zh-CN"/>
        </w:rPr>
        <w:t>重组的过程，</w:t>
      </w:r>
      <w:r>
        <w:rPr>
          <w:rFonts w:hint="default"/>
          <w:sz w:val="21"/>
          <w:lang w:val="en-US" w:eastAsia="zh-CN"/>
        </w:rPr>
        <w:t>是</w:t>
      </w:r>
      <w:r>
        <w:rPr>
          <w:rFonts w:hint="eastAsia"/>
          <w:sz w:val="21"/>
          <w:lang w:val="en-US" w:eastAsia="zh-CN"/>
        </w:rPr>
        <w:t>基因工程</w:t>
      </w:r>
      <w:r>
        <w:rPr>
          <w:rFonts w:hint="default"/>
          <w:sz w:val="21"/>
          <w:lang w:val="en-US" w:eastAsia="zh-CN"/>
        </w:rPr>
        <w:t>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核心</w:t>
      </w:r>
      <w:r>
        <w:rPr>
          <w:rFonts w:hint="default"/>
          <w:sz w:val="21"/>
          <w:lang w:val="en-US" w:eastAsia="zh-CN"/>
        </w:rPr>
        <w:t>。</w:t>
      </w:r>
    </w:p>
    <w:p w14:paraId="29BE544C">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8.</w:t>
      </w:r>
      <w:r>
        <w:rPr>
          <w:rFonts w:hint="default"/>
          <w:sz w:val="21"/>
          <w:lang w:val="en-US" w:eastAsia="zh-CN"/>
        </w:rPr>
        <w:t>基因表达载体</w:t>
      </w:r>
      <w:r>
        <w:rPr>
          <w:rFonts w:hint="eastAsia"/>
          <w:sz w:val="21"/>
          <w:lang w:val="en-US" w:eastAsia="zh-CN"/>
        </w:rPr>
        <w:t>的组成：</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目的基因</w:t>
      </w:r>
      <w:r>
        <w:rPr>
          <w:rFonts w:hint="default"/>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标记基因</w:t>
      </w:r>
      <w:r>
        <w:rPr>
          <w:rFonts w:hint="eastAsia"/>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启动子</w:t>
      </w:r>
      <w:r>
        <w:rPr>
          <w:rFonts w:hint="default"/>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终止子</w:t>
      </w:r>
      <w:r>
        <w:rPr>
          <w:rFonts w:hint="default"/>
          <w:sz w:val="21"/>
          <w:lang w:val="en-US" w:eastAsia="zh-CN"/>
        </w:rPr>
        <w:t>等。</w:t>
      </w:r>
    </w:p>
    <w:p w14:paraId="5D057305">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9.</w:t>
      </w:r>
      <w:r>
        <w:rPr>
          <w:rFonts w:hint="default"/>
          <w:sz w:val="21"/>
          <w:lang w:val="en-US" w:eastAsia="zh-CN"/>
        </w:rPr>
        <w:t>启动子是一段有</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特殊序列</w:t>
      </w:r>
      <w:r>
        <w:rPr>
          <w:rFonts w:hint="default"/>
          <w:sz w:val="21"/>
          <w:lang w:val="en-US" w:eastAsia="zh-CN"/>
        </w:rPr>
        <w:t>结构的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DNA片段</w:t>
      </w:r>
      <w:r>
        <w:rPr>
          <w:rFonts w:hint="default"/>
          <w:sz w:val="21"/>
          <w:lang w:val="en-US" w:eastAsia="zh-CN"/>
        </w:rPr>
        <w:t>，位于基因的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上游</w:t>
      </w:r>
      <w:r>
        <w:rPr>
          <w:rFonts w:hint="default"/>
          <w:sz w:val="21"/>
          <w:lang w:val="en-US" w:eastAsia="zh-CN"/>
        </w:rPr>
        <w:t>，紧挨转录的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起始位点</w:t>
      </w:r>
      <w:r>
        <w:rPr>
          <w:rFonts w:hint="default"/>
          <w:sz w:val="21"/>
          <w:lang w:val="en-US" w:eastAsia="zh-CN"/>
        </w:rPr>
        <w:t>，它是</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RNA聚合酶</w:t>
      </w:r>
      <w:r>
        <w:rPr>
          <w:rFonts w:hint="default"/>
          <w:sz w:val="21"/>
          <w:lang w:val="en-US" w:eastAsia="zh-CN"/>
        </w:rPr>
        <w:t>识别和结合的部位，驱动基因</w:t>
      </w:r>
      <w:r>
        <w:rPr>
          <w:rFonts w:hint="default"/>
          <w:strike w:val="0"/>
          <w:dstrike w:val="0"/>
          <w:color w:val="91ACE0" w:themeColor="accent1" w:themeTint="99"/>
          <w:sz w:val="21"/>
          <w:u w:val="single"/>
          <w:lang w:val="en-US" w:eastAsia="zh-CN"/>
          <w14:textFill>
            <w14:solidFill>
              <w14:schemeClr w14:val="accent1">
                <w14:lumMod w14:val="60000"/>
                <w14:lumOff w14:val="40000"/>
              </w14:schemeClr>
            </w14:solidFill>
          </w14:textFill>
        </w:rPr>
        <w:t>转录</w:t>
      </w:r>
      <w:r>
        <w:rPr>
          <w:rFonts w:hint="default"/>
          <w:sz w:val="21"/>
          <w:lang w:val="en-US" w:eastAsia="zh-CN"/>
        </w:rPr>
        <w:t>。</w:t>
      </w:r>
    </w:p>
    <w:p w14:paraId="6CE5A411">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10.</w:t>
      </w:r>
      <w:r>
        <w:rPr>
          <w:rFonts w:hint="default"/>
          <w:sz w:val="21"/>
          <w:lang w:val="en-US" w:eastAsia="zh-CN"/>
        </w:rPr>
        <w:t>将目的基因导入受体细胞</w:t>
      </w:r>
      <w:r>
        <w:rPr>
          <w:rFonts w:hint="eastAsia"/>
          <w:sz w:val="21"/>
          <w:lang w:val="en-US" w:eastAsia="zh-CN"/>
        </w:rPr>
        <w:t>的方法：植物细胞：</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花粉管通道法</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农杆菌转化法</w:t>
      </w:r>
      <w:r>
        <w:rPr>
          <w:rFonts w:hint="eastAsia"/>
          <w:sz w:val="21"/>
          <w:lang w:val="en-US" w:eastAsia="zh-CN"/>
        </w:rPr>
        <w:t>；动物细胞：</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显微注射技术</w:t>
      </w:r>
      <w:r>
        <w:rPr>
          <w:rFonts w:hint="eastAsia"/>
          <w:sz w:val="21"/>
          <w:lang w:val="en-US" w:eastAsia="zh-CN"/>
        </w:rPr>
        <w:t>；微生物细胞：</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Ca</w:t>
      </w:r>
      <w:r>
        <w:rPr>
          <w:rFonts w:hint="eastAsia"/>
          <w:color w:val="91ACE0" w:themeColor="accent1" w:themeTint="99"/>
          <w:sz w:val="21"/>
          <w:u w:val="single"/>
          <w:vertAlign w:val="superscript"/>
          <w:lang w:val="en-US" w:eastAsia="zh-CN"/>
          <w14:textFill>
            <w14:solidFill>
              <w14:schemeClr w14:val="accent1">
                <w14:lumMod w14:val="60000"/>
                <w14:lumOff w14:val="40000"/>
              </w14:schemeClr>
            </w14:solidFill>
          </w14:textFill>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处理法</w:t>
      </w:r>
      <w:r>
        <w:rPr>
          <w:rFonts w:hint="eastAsia"/>
          <w:sz w:val="21"/>
          <w:lang w:val="en-US" w:eastAsia="zh-CN"/>
        </w:rPr>
        <w:t>。</w:t>
      </w:r>
    </w:p>
    <w:p w14:paraId="3F247BDD">
      <w:pPr>
        <w:numPr>
          <w:ilvl w:val="0"/>
          <w:numId w:val="0"/>
        </w:numPr>
        <w:shd w:val="clear" w:color="auto" w:fill="auto"/>
        <w:spacing w:line="360" w:lineRule="auto"/>
        <w:jc w:val="left"/>
        <w:textAlignment w:val="center"/>
        <w:rPr>
          <w:rFonts w:ascii="Times New Roman" w:hAnsi="Times New Roman" w:cs="Times New Roman"/>
          <w:b/>
          <w:bCs/>
        </w:rPr>
      </w:pPr>
      <w:r>
        <w:rPr>
          <w:rFonts w:hint="eastAsia"/>
          <w:sz w:val="21"/>
          <w:lang w:val="en-US" w:eastAsia="zh-CN"/>
        </w:rPr>
        <w:t>11.目的基因的检测与鉴定包括</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分子水平</w:t>
      </w:r>
      <w:r>
        <w:rPr>
          <w:rFonts w:hint="eastAsia"/>
          <w:sz w:val="21"/>
          <w:lang w:val="en-US" w:eastAsia="zh-CN"/>
        </w:rPr>
        <w:t>的检测、</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个体生物学水平</w:t>
      </w:r>
      <w:r>
        <w:rPr>
          <w:rFonts w:hint="eastAsia"/>
          <w:sz w:val="21"/>
          <w:lang w:val="en-US" w:eastAsia="zh-CN"/>
        </w:rPr>
        <w:t>的鉴定。</w:t>
      </w:r>
    </w:p>
    <w:p w14:paraId="56DFA64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751049A1">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rFonts w:hint="eastAsia"/>
          <w:sz w:val="21"/>
        </w:rPr>
        <w:t>基因表达载体的构建方法是一样的，但将目的基因导入受体细胞的方法不是完全相同的。</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1AD3DCC">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2</w:t>
      </w:r>
      <w:r>
        <w:rPr>
          <w:rFonts w:hint="eastAsia"/>
          <w:sz w:val="21"/>
          <w:lang w:eastAsia="zh-CN"/>
        </w:rPr>
        <w:t>.</w:t>
      </w:r>
      <w:r>
        <w:rPr>
          <w:rFonts w:hint="eastAsia"/>
          <w:sz w:val="21"/>
        </w:rPr>
        <w:t>载体质粒通常采用抗生素合成基因作为筛选标记基因</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0C42633">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为了让目的基因在乳腺细胞中特异性表达，需用绵羊的乳腺细胞作为受体细胞。</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D839290">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PCR过程中，温度周期性地改变是为了让</w:t>
      </w:r>
      <w:r>
        <w:rPr>
          <w:rFonts w:hint="eastAsia"/>
          <w:i/>
          <w:iCs/>
          <w:sz w:val="21"/>
        </w:rPr>
        <w:t>Taq</w:t>
      </w:r>
      <w:r>
        <w:rPr>
          <w:rFonts w:hint="eastAsia"/>
          <w:sz w:val="21"/>
          <w:lang w:val="en-US" w:eastAsia="zh-CN"/>
        </w:rPr>
        <w:t xml:space="preserve"> </w:t>
      </w:r>
      <w:r>
        <w:rPr>
          <w:rFonts w:hint="eastAsia"/>
          <w:sz w:val="21"/>
        </w:rPr>
        <w:t>DNA聚合酶催化不同的反应</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9FE1EDB">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在溶有DNA的NaCl溶液中，加入二苯胺试剂即呈蓝色</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3923188">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提取某生物的DNA，将其中的一个基因扩增出来，在PCR反应体系中，至少需3次扩增才能获得所需的基因</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357BC2A">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检测受体细胞是否表达A蛋白的方法，是用抗A蛋白的单克隆抗体与A蛋白进行抗原—抗体杂交</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left"/>
        <w:rPr>
          <w:rFonts w:hint="default"/>
          <w:sz w:val="21"/>
          <w:lang w:val="en-US" w:eastAsia="zh-CN"/>
        </w:rPr>
      </w:pPr>
      <w:r>
        <w:rPr>
          <w:rFonts w:hint="eastAsia"/>
          <w:sz w:val="21"/>
          <w:lang w:val="en-US" w:eastAsia="zh-CN"/>
        </w:rPr>
        <w:t>8</w:t>
      </w:r>
      <w:r>
        <w:rPr>
          <w:rFonts w:hint="eastAsia"/>
          <w:sz w:val="21"/>
          <w:lang w:eastAsia="zh-CN"/>
        </w:rPr>
        <w:t>.</w:t>
      </w:r>
      <w:r>
        <w:rPr>
          <w:rFonts w:hint="default" w:ascii="Times New Roman" w:hAnsi="Times New Roman" w:eastAsia="宋体" w:cs="Times New Roman"/>
          <w:sz w:val="21"/>
          <w:szCs w:val="21"/>
          <w:lang w:val="en-US" w:eastAsia="zh-CN"/>
        </w:rPr>
        <w:t xml:space="preserve">将目的基因导入植物细胞常用的方法有花粉管通道法和农杆菌转化法。(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188915A0"/>
    <w:rsid w:val="3F291086"/>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5FD433FD7328498BACE7119DDB028B49_13</vt:lpwstr>
  </property>
  <property fmtid="{D5CDD505-2E9C-101B-9397-08002B2CF9AE}" pid="4" name="KSOTemplateDocerSaveRecord">
    <vt:lpwstr>eyJoZGlkIjoiMDYzNDM0ZmUzNjQwOTZkMGViMGMwNGQ4NmY1NjAyMjMiLCJ1c2VySWQiOiI0NzU4NDc3NjIifQ==</vt:lpwstr>
  </property>
</Properties>
</file>